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EBC8" w14:textId="03E71B0A" w:rsidR="002E1BFB" w:rsidRDefault="000E718E">
      <w:r>
        <w:t xml:space="preserve">Private Howard Michael McCann was </w:t>
      </w:r>
      <w:r w:rsidR="002E5F90">
        <w:t xml:space="preserve">a roman catholic </w:t>
      </w:r>
      <w:r>
        <w:t>born in Redbanks, South Australia in September 1894</w:t>
      </w:r>
      <w:r w:rsidR="00072BCB">
        <w:t xml:space="preserve"> to Mrs </w:t>
      </w:r>
      <w:r w:rsidR="003F7073">
        <w:t>M</w:t>
      </w:r>
      <w:r w:rsidR="00072BCB">
        <w:t>atilda Collins. He later moved to Salisbury</w:t>
      </w:r>
      <w:r w:rsidR="002044C0">
        <w:t xml:space="preserve"> as a baker</w:t>
      </w:r>
      <w:r w:rsidR="00072BCB">
        <w:t>.</w:t>
      </w:r>
      <w:r w:rsidR="00704A55">
        <w:t xml:space="preserve"> He was </w:t>
      </w:r>
      <w:r w:rsidR="00586FF0">
        <w:t xml:space="preserve">5’ 5” (165 cm) </w:t>
      </w:r>
      <w:r w:rsidR="00CF6221">
        <w:t>weighed 125 pounds (</w:t>
      </w:r>
      <w:r w:rsidR="00CF6221">
        <w:rPr>
          <w:lang w:val="en-US"/>
        </w:rPr>
        <w:t xml:space="preserve">56.7 Kg) </w:t>
      </w:r>
      <w:r w:rsidR="00537E1E">
        <w:rPr>
          <w:lang w:val="en-US"/>
        </w:rPr>
        <w:t>with a medium complexion</w:t>
      </w:r>
      <w:r w:rsidR="00DC230B">
        <w:rPr>
          <w:lang w:val="en-US"/>
        </w:rPr>
        <w:t xml:space="preserve"> and brown hair and eyes</w:t>
      </w:r>
      <w:r w:rsidR="00DC230B">
        <w:t>.</w:t>
      </w:r>
    </w:p>
    <w:p w14:paraId="4E3313E0" w14:textId="7E0866B7" w:rsidR="00741DD4" w:rsidRDefault="00072BCB">
      <w:r>
        <w:t xml:space="preserve"> On 25</w:t>
      </w:r>
      <w:r w:rsidRPr="00072BCB">
        <w:rPr>
          <w:vertAlign w:val="superscript"/>
        </w:rPr>
        <w:t>th</w:t>
      </w:r>
      <w:r>
        <w:t xml:space="preserve"> September 1915 he enlisted in the 3</w:t>
      </w:r>
      <w:r w:rsidRPr="00072BCB">
        <w:rPr>
          <w:vertAlign w:val="superscript"/>
        </w:rPr>
        <w:t>rd</w:t>
      </w:r>
      <w:r>
        <w:t xml:space="preserve"> light horse regiment</w:t>
      </w:r>
      <w:r w:rsidR="004D138B">
        <w:t>,</w:t>
      </w:r>
      <w:r w:rsidR="00956DBC">
        <w:t xml:space="preserve"> which was </w:t>
      </w:r>
      <w:r w:rsidR="00B94931">
        <w:t xml:space="preserve">one of Australia’s mounted units, known for playing a part in Gallipoli and the </w:t>
      </w:r>
      <w:r w:rsidR="009E223F">
        <w:t xml:space="preserve">Sinai Palestine campaign. </w:t>
      </w:r>
      <w:r w:rsidR="00C83C2F">
        <w:t xml:space="preserve">The unit was formed in 1914 in Adelaide, consisting of mostly </w:t>
      </w:r>
      <w:r w:rsidR="00772A28">
        <w:t xml:space="preserve">south Australian troops and some from Tasmania. The unit was initially commanded by </w:t>
      </w:r>
      <w:r w:rsidR="00B65220">
        <w:t>L</w:t>
      </w:r>
      <w:r w:rsidR="00217CDC">
        <w:t xml:space="preserve">ieutenant </w:t>
      </w:r>
      <w:r w:rsidR="00B65220">
        <w:t>C</w:t>
      </w:r>
      <w:r w:rsidR="00217CDC">
        <w:t xml:space="preserve">olonel </w:t>
      </w:r>
      <w:r w:rsidR="00B65220">
        <w:t>Frank Milton Rowell.</w:t>
      </w:r>
      <w:r w:rsidR="00741DD4">
        <w:t xml:space="preserve"> He joined the </w:t>
      </w:r>
      <w:r w:rsidR="004D138B">
        <w:t>14</w:t>
      </w:r>
      <w:r w:rsidR="004D138B" w:rsidRPr="004D138B">
        <w:rPr>
          <w:vertAlign w:val="superscript"/>
        </w:rPr>
        <w:t>th</w:t>
      </w:r>
      <w:r w:rsidR="004D138B">
        <w:t xml:space="preserve"> reinforcement</w:t>
      </w:r>
      <w:r>
        <w:t xml:space="preserve"> </w:t>
      </w:r>
      <w:r w:rsidR="00741DD4">
        <w:t xml:space="preserve">of this unit </w:t>
      </w:r>
      <w:r>
        <w:t xml:space="preserve">aged 21 and a half years. </w:t>
      </w:r>
    </w:p>
    <w:p w14:paraId="340D82B6" w14:textId="65ED491E" w:rsidR="00180999" w:rsidRPr="00741DD4" w:rsidRDefault="00DB2994">
      <w:r>
        <w:t>Then on the 10</w:t>
      </w:r>
      <w:r w:rsidR="00A4207F" w:rsidRPr="00DB2994">
        <w:rPr>
          <w:vertAlign w:val="superscript"/>
        </w:rPr>
        <w:t xml:space="preserve">th </w:t>
      </w:r>
      <w:r w:rsidR="00A4207F">
        <w:t>of</w:t>
      </w:r>
      <w:r>
        <w:t xml:space="preserve"> February 1916 he embarked </w:t>
      </w:r>
      <w:r w:rsidR="00146371">
        <w:t xml:space="preserve">from </w:t>
      </w:r>
      <w:r w:rsidR="00E075E0">
        <w:t>Adelaide</w:t>
      </w:r>
      <w:r w:rsidR="00C818C1">
        <w:t xml:space="preserve"> on </w:t>
      </w:r>
      <w:r w:rsidR="00C52F74">
        <w:t xml:space="preserve">the </w:t>
      </w:r>
      <w:r w:rsidR="00A4207F">
        <w:t>HMAT</w:t>
      </w:r>
      <w:r w:rsidR="002A4CE9">
        <w:t xml:space="preserve"> Marilda. The M</w:t>
      </w:r>
      <w:r w:rsidR="002A4CE9">
        <w:rPr>
          <w:lang w:val="en-US"/>
        </w:rPr>
        <w:t xml:space="preserve">arilda was </w:t>
      </w:r>
      <w:r w:rsidR="00733A40">
        <w:rPr>
          <w:lang w:val="en-US"/>
        </w:rPr>
        <w:t xml:space="preserve">ship designed for the </w:t>
      </w:r>
      <w:r w:rsidR="00A4207F">
        <w:rPr>
          <w:lang w:val="en-US"/>
        </w:rPr>
        <w:t>E</w:t>
      </w:r>
      <w:r w:rsidR="00733A40">
        <w:rPr>
          <w:lang w:val="en-US"/>
        </w:rPr>
        <w:t>ast-</w:t>
      </w:r>
      <w:r w:rsidR="00A4207F">
        <w:rPr>
          <w:lang w:val="en-US"/>
        </w:rPr>
        <w:t>west Australian</w:t>
      </w:r>
      <w:r w:rsidR="00733A40">
        <w:rPr>
          <w:lang w:val="en-US"/>
        </w:rPr>
        <w:t xml:space="preserve"> </w:t>
      </w:r>
      <w:r w:rsidR="001237E3">
        <w:rPr>
          <w:lang w:val="en-US"/>
        </w:rPr>
        <w:t xml:space="preserve">coastal service. At the start of </w:t>
      </w:r>
      <w:r w:rsidR="00A4207F">
        <w:rPr>
          <w:lang w:val="en-US"/>
        </w:rPr>
        <w:t>WW1</w:t>
      </w:r>
      <w:r w:rsidR="001237E3">
        <w:rPr>
          <w:lang w:val="en-US"/>
        </w:rPr>
        <w:t xml:space="preserve">, the vessel was taken by the </w:t>
      </w:r>
      <w:r w:rsidR="00496DC7">
        <w:rPr>
          <w:lang w:val="en-US"/>
        </w:rPr>
        <w:t>Australian</w:t>
      </w:r>
      <w:r w:rsidR="001237E3">
        <w:rPr>
          <w:lang w:val="en-US"/>
        </w:rPr>
        <w:t xml:space="preserve"> government </w:t>
      </w:r>
      <w:r w:rsidR="00496DC7">
        <w:rPr>
          <w:lang w:val="en-US"/>
        </w:rPr>
        <w:t xml:space="preserve">as a troopship and assigned the prefix HMAT, which stands for His Majesties Australian Transport. </w:t>
      </w:r>
      <w:r w:rsidR="006576F3">
        <w:rPr>
          <w:lang w:val="en-US"/>
        </w:rPr>
        <w:t xml:space="preserve">During 1915-1916 the ship carried Australian troops from Australia to Egypt to England. </w:t>
      </w:r>
      <w:r w:rsidR="003D3528">
        <w:rPr>
          <w:lang w:val="en-US"/>
        </w:rPr>
        <w:t xml:space="preserve">Around June 1916 the ship was converted into a hospital ship for use of </w:t>
      </w:r>
      <w:r w:rsidR="004710A4">
        <w:rPr>
          <w:lang w:val="en-US"/>
        </w:rPr>
        <w:t xml:space="preserve">the British admiralty and was put to use in the Mediterranean and </w:t>
      </w:r>
      <w:r w:rsidR="00A4207F">
        <w:rPr>
          <w:lang w:val="en-US"/>
        </w:rPr>
        <w:t>English Channel</w:t>
      </w:r>
      <w:r w:rsidR="00302D6E">
        <w:rPr>
          <w:lang w:val="en-US"/>
        </w:rPr>
        <w:t xml:space="preserve">, making over </w:t>
      </w:r>
      <w:r w:rsidR="00CA6895">
        <w:rPr>
          <w:lang w:val="en-US"/>
        </w:rPr>
        <w:t xml:space="preserve">180 trips and carrying around 80 000 wounded soldiers. </w:t>
      </w:r>
      <w:r w:rsidR="00FD5BCA">
        <w:rPr>
          <w:lang w:val="en-US"/>
        </w:rPr>
        <w:t>The ship was sunk</w:t>
      </w:r>
      <w:r w:rsidR="000B41E2">
        <w:rPr>
          <w:lang w:val="en-US"/>
        </w:rPr>
        <w:t xml:space="preserve"> </w:t>
      </w:r>
      <w:r w:rsidR="00FD5BCA">
        <w:rPr>
          <w:lang w:val="en-US"/>
        </w:rPr>
        <w:t>on the 3</w:t>
      </w:r>
      <w:r w:rsidR="00FD5BCA" w:rsidRPr="00FD5BCA">
        <w:rPr>
          <w:vertAlign w:val="superscript"/>
          <w:lang w:val="en-US"/>
        </w:rPr>
        <w:t>rd</w:t>
      </w:r>
      <w:r w:rsidR="00FD5BCA">
        <w:rPr>
          <w:lang w:val="en-US"/>
        </w:rPr>
        <w:t xml:space="preserve"> of august 1918 while carrying </w:t>
      </w:r>
      <w:r w:rsidR="00C922A1">
        <w:rPr>
          <w:lang w:val="en-US"/>
        </w:rPr>
        <w:t>wounded soldiers from Le Havre in France to Southampton in England</w:t>
      </w:r>
      <w:r w:rsidR="003F774C">
        <w:rPr>
          <w:lang w:val="en-US"/>
        </w:rPr>
        <w:t xml:space="preserve"> 801 people were aboard and approximately 123 people died</w:t>
      </w:r>
      <w:r w:rsidR="00C922A1">
        <w:rPr>
          <w:lang w:val="en-US"/>
        </w:rPr>
        <w:t>.</w:t>
      </w:r>
    </w:p>
    <w:p w14:paraId="5F34341D" w14:textId="423EEB84" w:rsidR="00EE2D23" w:rsidRDefault="00C818C1">
      <w:r>
        <w:t xml:space="preserve"> to France</w:t>
      </w:r>
      <w:r w:rsidR="00712C74">
        <w:t xml:space="preserve">, taking on the strength of the first light horse regiment. </w:t>
      </w:r>
      <w:r w:rsidR="00C52F74">
        <w:t>He arrived in France on the 5</w:t>
      </w:r>
      <w:r w:rsidR="00C52F74" w:rsidRPr="00C52F74">
        <w:rPr>
          <w:vertAlign w:val="superscript"/>
        </w:rPr>
        <w:t>th</w:t>
      </w:r>
      <w:r w:rsidR="00C52F74">
        <w:t xml:space="preserve"> of January 1916. </w:t>
      </w:r>
      <w:r w:rsidR="00E075E0">
        <w:t xml:space="preserve"> </w:t>
      </w:r>
      <w:r w:rsidR="00680B56">
        <w:t>On the 17</w:t>
      </w:r>
      <w:r w:rsidR="00680B56" w:rsidRPr="00680B56">
        <w:rPr>
          <w:vertAlign w:val="superscript"/>
        </w:rPr>
        <w:t>th</w:t>
      </w:r>
      <w:r w:rsidR="00680B56">
        <w:t xml:space="preserve"> of September</w:t>
      </w:r>
      <w:r w:rsidR="002C66B1">
        <w:t xml:space="preserve"> he was appointed as a driver</w:t>
      </w:r>
      <w:r w:rsidR="00EE2D23">
        <w:t xml:space="preserve">, a driver was </w:t>
      </w:r>
      <w:r w:rsidR="00F902D4">
        <w:t xml:space="preserve">a soldier who took part in some transport duties, such as </w:t>
      </w:r>
      <w:r w:rsidR="002658F8">
        <w:t>transporting hospital and ambulance carts</w:t>
      </w:r>
      <w:r w:rsidR="000E411A">
        <w:t xml:space="preserve"> and ammunition in horse drawn carts. The drivers also took care of </w:t>
      </w:r>
      <w:r w:rsidR="00E70598">
        <w:t xml:space="preserve">horses and their equipment. </w:t>
      </w:r>
      <w:r w:rsidR="006D026D">
        <w:t xml:space="preserve">The role of a driver was </w:t>
      </w:r>
      <w:r w:rsidR="00B86EA4">
        <w:t xml:space="preserve">a vital but </w:t>
      </w:r>
      <w:r w:rsidR="006D026D">
        <w:t xml:space="preserve">often dangerous one, as they would have to transport goods under </w:t>
      </w:r>
      <w:r w:rsidR="00A572E8">
        <w:t>heavy fire in the front lines.</w:t>
      </w:r>
    </w:p>
    <w:p w14:paraId="772EE03F" w14:textId="5D94FB27" w:rsidR="008860FB" w:rsidRDefault="001F7304">
      <w:r>
        <w:t>Later, on</w:t>
      </w:r>
      <w:r w:rsidR="00506F44">
        <w:t xml:space="preserve"> the 1</w:t>
      </w:r>
      <w:r w:rsidR="00506F44" w:rsidRPr="00506F44">
        <w:rPr>
          <w:vertAlign w:val="superscript"/>
        </w:rPr>
        <w:t>st</w:t>
      </w:r>
      <w:r w:rsidR="00506F44">
        <w:t xml:space="preserve"> of February 1917</w:t>
      </w:r>
      <w:r w:rsidR="00711E31">
        <w:t xml:space="preserve"> he was admitted to hospital </w:t>
      </w:r>
      <w:r w:rsidR="00297713">
        <w:t>sick</w:t>
      </w:r>
      <w:r w:rsidR="00711E31">
        <w:t xml:space="preserve"> </w:t>
      </w:r>
      <w:r w:rsidR="00EE717D">
        <w:t>then he</w:t>
      </w:r>
      <w:r w:rsidR="00711E31">
        <w:t xml:space="preserve"> rejoined his unit 10 days </w:t>
      </w:r>
      <w:r w:rsidR="00DE22CC">
        <w:t>later</w:t>
      </w:r>
      <w:r w:rsidR="00711E31">
        <w:t xml:space="preserve"> the 12</w:t>
      </w:r>
      <w:r w:rsidR="00711E31" w:rsidRPr="00711E31">
        <w:rPr>
          <w:vertAlign w:val="superscript"/>
        </w:rPr>
        <w:t>th</w:t>
      </w:r>
      <w:r w:rsidR="00711E31">
        <w:t xml:space="preserve">. </w:t>
      </w:r>
      <w:r w:rsidR="0046428D">
        <w:t xml:space="preserve">He did take some leave in the UK between </w:t>
      </w:r>
      <w:r w:rsidR="00E51203">
        <w:t>the 20</w:t>
      </w:r>
      <w:r w:rsidR="00E51203" w:rsidRPr="00E51203">
        <w:rPr>
          <w:vertAlign w:val="superscript"/>
        </w:rPr>
        <w:t>th</w:t>
      </w:r>
      <w:r w:rsidR="00E51203">
        <w:t xml:space="preserve"> of September and the </w:t>
      </w:r>
      <w:r w:rsidR="006064EB">
        <w:t>4</w:t>
      </w:r>
      <w:r w:rsidR="006064EB" w:rsidRPr="006064EB">
        <w:rPr>
          <w:vertAlign w:val="superscript"/>
        </w:rPr>
        <w:t>th</w:t>
      </w:r>
      <w:r w:rsidR="006064EB">
        <w:t xml:space="preserve"> of October 1917. </w:t>
      </w:r>
      <w:r w:rsidR="003C6143">
        <w:t>He was soon appointed as a driver on the 14</w:t>
      </w:r>
      <w:r w:rsidR="003C6143" w:rsidRPr="003C6143">
        <w:rPr>
          <w:vertAlign w:val="superscript"/>
        </w:rPr>
        <w:t>th</w:t>
      </w:r>
      <w:r w:rsidR="003C6143">
        <w:t xml:space="preserve"> of January 1918</w:t>
      </w:r>
      <w:r w:rsidR="00BF0B9D">
        <w:t>.</w:t>
      </w:r>
      <w:r w:rsidR="00706919">
        <w:t xml:space="preserve"> </w:t>
      </w:r>
      <w:r w:rsidR="00BF0B9D">
        <w:t xml:space="preserve">He was </w:t>
      </w:r>
      <w:r w:rsidR="00A227E6">
        <w:t xml:space="preserve">attached for duty on 31/8/18 </w:t>
      </w:r>
      <w:r w:rsidR="00430E34">
        <w:t xml:space="preserve">but his attachment ceased on </w:t>
      </w:r>
      <w:r w:rsidR="008C0046">
        <w:t>the 12</w:t>
      </w:r>
      <w:r w:rsidR="008C0046" w:rsidRPr="008C0046">
        <w:rPr>
          <w:vertAlign w:val="superscript"/>
        </w:rPr>
        <w:t>th</w:t>
      </w:r>
      <w:r w:rsidR="008C0046">
        <w:t xml:space="preserve"> of </w:t>
      </w:r>
      <w:r w:rsidR="0011404B">
        <w:t>October later that year</w:t>
      </w:r>
      <w:r w:rsidR="00FF335F">
        <w:t xml:space="preserve">. </w:t>
      </w:r>
      <w:r w:rsidR="00FE0903">
        <w:t xml:space="preserve">He took some leave to the UK again from </w:t>
      </w:r>
      <w:r w:rsidR="0011404B">
        <w:t>the 13</w:t>
      </w:r>
      <w:r w:rsidR="0011404B" w:rsidRPr="0011404B">
        <w:rPr>
          <w:vertAlign w:val="superscript"/>
        </w:rPr>
        <w:t>th</w:t>
      </w:r>
      <w:r w:rsidR="0011404B">
        <w:t xml:space="preserve"> of November</w:t>
      </w:r>
      <w:r w:rsidR="0028223C">
        <w:t xml:space="preserve"> to </w:t>
      </w:r>
      <w:r w:rsidR="0011404B">
        <w:t>the 14</w:t>
      </w:r>
      <w:r w:rsidR="0011404B" w:rsidRPr="0011404B">
        <w:rPr>
          <w:vertAlign w:val="superscript"/>
        </w:rPr>
        <w:t>th</w:t>
      </w:r>
      <w:r w:rsidR="0011404B">
        <w:t xml:space="preserve"> of December </w:t>
      </w:r>
      <w:r w:rsidR="00CE4F80">
        <w:t xml:space="preserve">after his </w:t>
      </w:r>
      <w:r w:rsidR="00653006">
        <w:t>attachment</w:t>
      </w:r>
      <w:r w:rsidR="0028223C">
        <w:t xml:space="preserve">, when he then rejoined </w:t>
      </w:r>
      <w:r w:rsidR="00D7037F">
        <w:t xml:space="preserve">at France again. </w:t>
      </w:r>
      <w:r w:rsidR="005B236E">
        <w:t xml:space="preserve">He finally returned to his home in Australia after </w:t>
      </w:r>
      <w:r w:rsidR="005D7668">
        <w:t xml:space="preserve">1197 days of service on </w:t>
      </w:r>
      <w:r w:rsidR="00BE41F8">
        <w:t>22/5/19</w:t>
      </w:r>
      <w:r w:rsidR="00CD781B">
        <w:t>.</w:t>
      </w:r>
      <w:r w:rsidR="00881165">
        <w:t xml:space="preserve"> </w:t>
      </w:r>
      <w:r w:rsidR="008F78BC">
        <w:t xml:space="preserve">McCann also had a brother in the </w:t>
      </w:r>
      <w:r w:rsidR="00014DE0">
        <w:t xml:space="preserve">military. Private James Thomas McCann </w:t>
      </w:r>
      <w:r w:rsidR="003F507A">
        <w:t>was part of the 5</w:t>
      </w:r>
      <w:r w:rsidR="003F507A" w:rsidRPr="003F507A">
        <w:rPr>
          <w:vertAlign w:val="superscript"/>
        </w:rPr>
        <w:t>th</w:t>
      </w:r>
      <w:r w:rsidR="003F507A">
        <w:t xml:space="preserve"> divisional ammunition column. </w:t>
      </w:r>
      <w:r w:rsidR="003A18BD">
        <w:t>James McCann</w:t>
      </w:r>
      <w:r w:rsidR="003F507A">
        <w:t xml:space="preserve"> returned to Australia on </w:t>
      </w:r>
      <w:r w:rsidR="003A18BD">
        <w:t>the 22</w:t>
      </w:r>
      <w:r w:rsidR="003A18BD" w:rsidRPr="003A18BD">
        <w:rPr>
          <w:vertAlign w:val="superscript"/>
        </w:rPr>
        <w:t>nd</w:t>
      </w:r>
      <w:r w:rsidR="003A18BD">
        <w:t xml:space="preserve"> of </w:t>
      </w:r>
      <w:r w:rsidR="002E0E61">
        <w:t>May</w:t>
      </w:r>
      <w:r w:rsidR="003A18BD">
        <w:t xml:space="preserve"> 1919. </w:t>
      </w:r>
      <w:r w:rsidR="00111F6D">
        <w:t xml:space="preserve">Howard Michael McCann died </w:t>
      </w:r>
      <w:r w:rsidR="0054311A">
        <w:t xml:space="preserve">due to natural courses </w:t>
      </w:r>
      <w:r w:rsidR="00111F6D">
        <w:t>on the 16</w:t>
      </w:r>
      <w:r w:rsidR="00111F6D" w:rsidRPr="00111F6D">
        <w:rPr>
          <w:vertAlign w:val="superscript"/>
        </w:rPr>
        <w:t>th</w:t>
      </w:r>
      <w:r w:rsidR="00111F6D">
        <w:t xml:space="preserve"> </w:t>
      </w:r>
      <w:r w:rsidR="004F70C3">
        <w:t>of December 1980 at the age of 87</w:t>
      </w:r>
      <w:r w:rsidR="00B84D00">
        <w:t xml:space="preserve">, he is now remembered on a plaque in the garden of </w:t>
      </w:r>
      <w:r w:rsidR="00A634C0">
        <w:t xml:space="preserve">remembrance in South Australia. </w:t>
      </w:r>
      <w:r w:rsidR="0054311A">
        <w:t>His body was laid to rest at the centennial park cemetery.</w:t>
      </w:r>
    </w:p>
    <w:p w14:paraId="1E2C94C5" w14:textId="77777777" w:rsidR="00B03B0D" w:rsidRDefault="00B03B0D"/>
    <w:p w14:paraId="2C1815AC" w14:textId="77777777" w:rsidR="00B03B0D" w:rsidRPr="00B03B0D" w:rsidRDefault="00B03B0D" w:rsidP="00B03B0D">
      <w:r w:rsidRPr="00B03B0D">
        <w:t>Timeline of Private Howard Michael McCann</w:t>
      </w:r>
    </w:p>
    <w:p w14:paraId="33042F44" w14:textId="77777777" w:rsidR="00B03B0D" w:rsidRPr="00B03B0D" w:rsidRDefault="00B03B0D" w:rsidP="00B03B0D">
      <w:r w:rsidRPr="00B03B0D">
        <w:t>1890s – Early Life</w:t>
      </w:r>
    </w:p>
    <w:p w14:paraId="42961DFE" w14:textId="77777777" w:rsidR="00B03B0D" w:rsidRPr="00B03B0D" w:rsidRDefault="00B03B0D" w:rsidP="00B03B0D">
      <w:pPr>
        <w:numPr>
          <w:ilvl w:val="0"/>
          <w:numId w:val="1"/>
        </w:numPr>
      </w:pPr>
      <w:r w:rsidRPr="00B03B0D">
        <w:t>September 1894 – Born in Redbanks, South Australia to Mrs Matilda Collins.</w:t>
      </w:r>
    </w:p>
    <w:p w14:paraId="14096E65" w14:textId="77777777" w:rsidR="00B03B0D" w:rsidRPr="00B03B0D" w:rsidRDefault="00B03B0D" w:rsidP="00B03B0D">
      <w:pPr>
        <w:numPr>
          <w:ilvl w:val="0"/>
          <w:numId w:val="1"/>
        </w:numPr>
      </w:pPr>
      <w:r w:rsidRPr="00B03B0D">
        <w:t>Raised Roman Catholic.</w:t>
      </w:r>
    </w:p>
    <w:p w14:paraId="48DCD95B" w14:textId="77777777" w:rsidR="00B03B0D" w:rsidRPr="00B03B0D" w:rsidRDefault="00B03B0D" w:rsidP="00B03B0D">
      <w:pPr>
        <w:numPr>
          <w:ilvl w:val="0"/>
          <w:numId w:val="1"/>
        </w:numPr>
      </w:pPr>
      <w:r w:rsidRPr="00B03B0D">
        <w:t>Later moved to Salisbury, where he worked as a baker.</w:t>
      </w:r>
    </w:p>
    <w:p w14:paraId="5B8B4888" w14:textId="017B551E" w:rsidR="00B03B0D" w:rsidRPr="00B03B0D" w:rsidRDefault="00B03B0D" w:rsidP="00B03B0D"/>
    <w:p w14:paraId="096A6665" w14:textId="77777777" w:rsidR="00B03B0D" w:rsidRPr="00B03B0D" w:rsidRDefault="00B03B0D" w:rsidP="00B03B0D">
      <w:r w:rsidRPr="00B03B0D">
        <w:t>1915 – Enlistment</w:t>
      </w:r>
    </w:p>
    <w:p w14:paraId="51E6F420" w14:textId="77777777" w:rsidR="00B03B0D" w:rsidRPr="00B03B0D" w:rsidRDefault="00B03B0D" w:rsidP="00B03B0D">
      <w:pPr>
        <w:numPr>
          <w:ilvl w:val="0"/>
          <w:numId w:val="2"/>
        </w:numPr>
      </w:pPr>
      <w:r w:rsidRPr="00B03B0D">
        <w:t>25 September 1915 (Age 21½) – Enlisted in the 3rd Light Horse Regiment (14th Reinforcement).</w:t>
      </w:r>
    </w:p>
    <w:p w14:paraId="24305BC0" w14:textId="77777777" w:rsidR="00B03B0D" w:rsidRPr="00B03B0D" w:rsidRDefault="00B03B0D" w:rsidP="00B03B0D">
      <w:pPr>
        <w:numPr>
          <w:ilvl w:val="1"/>
          <w:numId w:val="2"/>
        </w:numPr>
      </w:pPr>
      <w:r w:rsidRPr="00B03B0D">
        <w:t>Regiment formed in 1914 in Adelaide.</w:t>
      </w:r>
    </w:p>
    <w:p w14:paraId="6E3C8C58" w14:textId="77777777" w:rsidR="00B03B0D" w:rsidRPr="00B03B0D" w:rsidRDefault="00B03B0D" w:rsidP="00B03B0D">
      <w:pPr>
        <w:numPr>
          <w:ilvl w:val="1"/>
          <w:numId w:val="2"/>
        </w:numPr>
      </w:pPr>
      <w:r w:rsidRPr="00B03B0D">
        <w:t>Known for service in Gallipoli and the Sinai–Palestine campaign.</w:t>
      </w:r>
    </w:p>
    <w:p w14:paraId="23E103A2" w14:textId="77777777" w:rsidR="00B03B0D" w:rsidRPr="00B03B0D" w:rsidRDefault="00B03B0D" w:rsidP="00B03B0D">
      <w:pPr>
        <w:numPr>
          <w:ilvl w:val="1"/>
          <w:numId w:val="2"/>
        </w:numPr>
      </w:pPr>
      <w:r w:rsidRPr="00B03B0D">
        <w:t>Originally commanded by Lt. Col. Frank Milton Rowell.</w:t>
      </w:r>
    </w:p>
    <w:p w14:paraId="0A55147A" w14:textId="229677B6" w:rsidR="00B03B0D" w:rsidRPr="00B03B0D" w:rsidRDefault="00B03B0D" w:rsidP="00B03B0D"/>
    <w:p w14:paraId="7CFF4FC1" w14:textId="77777777" w:rsidR="00B03B0D" w:rsidRPr="00B03B0D" w:rsidRDefault="00B03B0D" w:rsidP="00B03B0D">
      <w:r w:rsidRPr="00B03B0D">
        <w:t>1916 – Departure &amp; Early Service</w:t>
      </w:r>
    </w:p>
    <w:p w14:paraId="69A38B3C" w14:textId="77777777" w:rsidR="00B03B0D" w:rsidRPr="00B03B0D" w:rsidRDefault="00B03B0D" w:rsidP="00B03B0D">
      <w:pPr>
        <w:numPr>
          <w:ilvl w:val="0"/>
          <w:numId w:val="3"/>
        </w:numPr>
      </w:pPr>
      <w:r w:rsidRPr="00B03B0D">
        <w:t>10 February 1916 – Embarked from Adelaide on the HMAT Marilda (troop transport).</w:t>
      </w:r>
    </w:p>
    <w:p w14:paraId="42215AD5" w14:textId="77777777" w:rsidR="00B03B0D" w:rsidRPr="00B03B0D" w:rsidRDefault="00B03B0D" w:rsidP="00B03B0D">
      <w:pPr>
        <w:numPr>
          <w:ilvl w:val="0"/>
          <w:numId w:val="3"/>
        </w:numPr>
      </w:pPr>
      <w:r w:rsidRPr="00B03B0D">
        <w:t>5 January 1916 – Arrived in France (noting that dates in records often overlap due to multiple movements; this one indicates his arrival for service in the European theatre).</w:t>
      </w:r>
    </w:p>
    <w:p w14:paraId="14A675A6" w14:textId="77777777" w:rsidR="00B03B0D" w:rsidRPr="00B03B0D" w:rsidRDefault="00B03B0D" w:rsidP="00B03B0D">
      <w:pPr>
        <w:numPr>
          <w:ilvl w:val="0"/>
          <w:numId w:val="3"/>
        </w:numPr>
      </w:pPr>
      <w:r w:rsidRPr="00B03B0D">
        <w:t>17 September 1916 – Appointed Driver (responsible for horse-drawn transport of supplies, ammunition, and ambulances).</w:t>
      </w:r>
    </w:p>
    <w:p w14:paraId="50FC13BB" w14:textId="15D2D3B7" w:rsidR="00B03B0D" w:rsidRPr="00B03B0D" w:rsidRDefault="00B03B0D" w:rsidP="00B03B0D"/>
    <w:p w14:paraId="718DD023" w14:textId="77777777" w:rsidR="00B03B0D" w:rsidRPr="00B03B0D" w:rsidRDefault="00B03B0D" w:rsidP="00B03B0D">
      <w:r w:rsidRPr="00B03B0D">
        <w:t>1917 – Illness and Leave</w:t>
      </w:r>
    </w:p>
    <w:p w14:paraId="6876BB6F" w14:textId="77777777" w:rsidR="00B03B0D" w:rsidRPr="00B03B0D" w:rsidRDefault="00B03B0D" w:rsidP="00B03B0D">
      <w:pPr>
        <w:numPr>
          <w:ilvl w:val="0"/>
          <w:numId w:val="4"/>
        </w:numPr>
      </w:pPr>
      <w:r w:rsidRPr="00B03B0D">
        <w:t>1 February 1917 – Admitted to hospital sick.</w:t>
      </w:r>
    </w:p>
    <w:p w14:paraId="2E0180BE" w14:textId="77777777" w:rsidR="00B03B0D" w:rsidRPr="00B03B0D" w:rsidRDefault="00B03B0D" w:rsidP="00B03B0D">
      <w:pPr>
        <w:numPr>
          <w:ilvl w:val="0"/>
          <w:numId w:val="4"/>
        </w:numPr>
      </w:pPr>
      <w:r w:rsidRPr="00B03B0D">
        <w:t>12 February 1917 – Rejoined his unit.</w:t>
      </w:r>
    </w:p>
    <w:p w14:paraId="0AB4D6B0" w14:textId="77777777" w:rsidR="00B03B0D" w:rsidRPr="00B03B0D" w:rsidRDefault="00B03B0D" w:rsidP="00B03B0D">
      <w:pPr>
        <w:numPr>
          <w:ilvl w:val="0"/>
          <w:numId w:val="4"/>
        </w:numPr>
      </w:pPr>
      <w:r w:rsidRPr="00B03B0D">
        <w:t>20 September – 4 October 1917 – Took leave in the United Kingdom.</w:t>
      </w:r>
    </w:p>
    <w:p w14:paraId="569CD35C" w14:textId="5410C65B" w:rsidR="00B03B0D" w:rsidRPr="00B03B0D" w:rsidRDefault="00B03B0D" w:rsidP="00B03B0D"/>
    <w:p w14:paraId="59655DD1" w14:textId="77777777" w:rsidR="00B03B0D" w:rsidRPr="00B03B0D" w:rsidRDefault="00B03B0D" w:rsidP="00B03B0D">
      <w:r w:rsidRPr="00B03B0D">
        <w:t>1918 – Continued Service</w:t>
      </w:r>
    </w:p>
    <w:p w14:paraId="20CCFC43" w14:textId="77777777" w:rsidR="00B03B0D" w:rsidRPr="00B03B0D" w:rsidRDefault="00B03B0D" w:rsidP="00B03B0D">
      <w:pPr>
        <w:numPr>
          <w:ilvl w:val="0"/>
          <w:numId w:val="5"/>
        </w:numPr>
      </w:pPr>
      <w:r w:rsidRPr="00B03B0D">
        <w:lastRenderedPageBreak/>
        <w:t>14 January 1918 – Again appointed Driver.</w:t>
      </w:r>
    </w:p>
    <w:p w14:paraId="72F647F1" w14:textId="77777777" w:rsidR="00B03B0D" w:rsidRPr="00B03B0D" w:rsidRDefault="00B03B0D" w:rsidP="00B03B0D">
      <w:pPr>
        <w:numPr>
          <w:ilvl w:val="0"/>
          <w:numId w:val="5"/>
        </w:numPr>
      </w:pPr>
      <w:r w:rsidRPr="00B03B0D">
        <w:t>31 August 1918 – Attached for special duty.</w:t>
      </w:r>
    </w:p>
    <w:p w14:paraId="6D32CBD4" w14:textId="77777777" w:rsidR="00B03B0D" w:rsidRPr="00B03B0D" w:rsidRDefault="00B03B0D" w:rsidP="00B03B0D">
      <w:pPr>
        <w:numPr>
          <w:ilvl w:val="0"/>
          <w:numId w:val="5"/>
        </w:numPr>
      </w:pPr>
      <w:r w:rsidRPr="00B03B0D">
        <w:t>12 October 1918 – Attachment concluded.</w:t>
      </w:r>
    </w:p>
    <w:p w14:paraId="50C277C7" w14:textId="77777777" w:rsidR="00B03B0D" w:rsidRPr="00B03B0D" w:rsidRDefault="00B03B0D" w:rsidP="00B03B0D">
      <w:pPr>
        <w:numPr>
          <w:ilvl w:val="0"/>
          <w:numId w:val="5"/>
        </w:numPr>
      </w:pPr>
      <w:r w:rsidRPr="00B03B0D">
        <w:t>13 November – 14 December 1918 – Took another period of UK leave.</w:t>
      </w:r>
    </w:p>
    <w:p w14:paraId="4F79FF8F" w14:textId="77777777" w:rsidR="00B03B0D" w:rsidRPr="00B03B0D" w:rsidRDefault="00B03B0D" w:rsidP="00B03B0D">
      <w:pPr>
        <w:numPr>
          <w:ilvl w:val="0"/>
          <w:numId w:val="5"/>
        </w:numPr>
      </w:pPr>
      <w:r w:rsidRPr="00B03B0D">
        <w:t>December 1918 – Rejoined unit in France.</w:t>
      </w:r>
    </w:p>
    <w:p w14:paraId="164DEADE" w14:textId="6B64D1D5" w:rsidR="00B03B0D" w:rsidRPr="00B03B0D" w:rsidRDefault="00B03B0D" w:rsidP="00B03B0D"/>
    <w:p w14:paraId="4637F8ED" w14:textId="77777777" w:rsidR="00B03B0D" w:rsidRPr="00B03B0D" w:rsidRDefault="00B03B0D" w:rsidP="00B03B0D">
      <w:r w:rsidRPr="00B03B0D">
        <w:t>1919 – Return to Australia</w:t>
      </w:r>
    </w:p>
    <w:p w14:paraId="6C55715D" w14:textId="77777777" w:rsidR="00B03B0D" w:rsidRPr="00B03B0D" w:rsidRDefault="00B03B0D" w:rsidP="00B03B0D">
      <w:pPr>
        <w:numPr>
          <w:ilvl w:val="0"/>
          <w:numId w:val="6"/>
        </w:numPr>
      </w:pPr>
      <w:r w:rsidRPr="00B03B0D">
        <w:t>22 May 1919 – Returned home to Australia after 1197 days of service.</w:t>
      </w:r>
    </w:p>
    <w:p w14:paraId="24EAF1C0" w14:textId="77777777" w:rsidR="00B03B0D" w:rsidRPr="00B03B0D" w:rsidRDefault="00B03B0D" w:rsidP="00B03B0D">
      <w:pPr>
        <w:numPr>
          <w:ilvl w:val="1"/>
          <w:numId w:val="6"/>
        </w:numPr>
      </w:pPr>
      <w:r w:rsidRPr="00B03B0D">
        <w:t>His brother, Private James Thomas McCann (5th Divisional Ammunition Column), also returned on the same date.</w:t>
      </w:r>
    </w:p>
    <w:p w14:paraId="64491B0E" w14:textId="049BE31F" w:rsidR="00B03B0D" w:rsidRPr="00B03B0D" w:rsidRDefault="00B03B0D" w:rsidP="00B03B0D"/>
    <w:p w14:paraId="639FCCCA" w14:textId="77777777" w:rsidR="00B03B0D" w:rsidRPr="00B03B0D" w:rsidRDefault="00B03B0D" w:rsidP="00B03B0D">
      <w:r w:rsidRPr="00B03B0D">
        <w:t>1980 – Death</w:t>
      </w:r>
    </w:p>
    <w:p w14:paraId="04804005" w14:textId="77777777" w:rsidR="00B03B0D" w:rsidRPr="00B03B0D" w:rsidRDefault="00B03B0D" w:rsidP="00B03B0D">
      <w:pPr>
        <w:numPr>
          <w:ilvl w:val="0"/>
          <w:numId w:val="7"/>
        </w:numPr>
      </w:pPr>
      <w:r w:rsidRPr="00B03B0D">
        <w:t>16 December 1980 – Died of natural causes, aged 87.</w:t>
      </w:r>
    </w:p>
    <w:p w14:paraId="4724C31A" w14:textId="77777777" w:rsidR="00B03B0D" w:rsidRPr="00B03B0D" w:rsidRDefault="00B03B0D" w:rsidP="00B03B0D">
      <w:pPr>
        <w:numPr>
          <w:ilvl w:val="0"/>
          <w:numId w:val="7"/>
        </w:numPr>
      </w:pPr>
      <w:r w:rsidRPr="00B03B0D">
        <w:t>Buried at Centennial Park Cemetery, South Australia.</w:t>
      </w:r>
    </w:p>
    <w:p w14:paraId="685D9AA1" w14:textId="77777777" w:rsidR="00B03B0D" w:rsidRPr="00B03B0D" w:rsidRDefault="00B03B0D" w:rsidP="00B03B0D">
      <w:pPr>
        <w:numPr>
          <w:ilvl w:val="0"/>
          <w:numId w:val="7"/>
        </w:numPr>
      </w:pPr>
      <w:r w:rsidRPr="00B03B0D">
        <w:t>Commemorated on a plaque in the Garden of Remembrance, South Australia.</w:t>
      </w:r>
    </w:p>
    <w:p w14:paraId="273DE732" w14:textId="77777777" w:rsidR="00B03B0D" w:rsidRDefault="00B03B0D"/>
    <w:p w14:paraId="5118FBE0" w14:textId="77777777" w:rsidR="00416651" w:rsidRDefault="00416651">
      <w:pPr>
        <w:rPr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358"/>
      </w:tblGrid>
      <w:tr w:rsidR="00E5402E" w14:paraId="68CDA21E" w14:textId="77777777" w:rsidTr="005A209C">
        <w:tc>
          <w:tcPr>
            <w:tcW w:w="4668" w:type="dxa"/>
          </w:tcPr>
          <w:p w14:paraId="60F0EC86" w14:textId="7DECDBED" w:rsidR="00E5402E" w:rsidRDefault="00E5402E">
            <w:pPr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74D3555D" wp14:editId="3C96BD67">
                  <wp:extent cx="1701165" cy="2675890"/>
                  <wp:effectExtent l="0" t="0" r="0" b="0"/>
                  <wp:docPr id="921037921" name="Picture 2" descr="3rd Light Horse Regiment - Naracoorte Tro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rd Light Horse Regiment - Naracoorte Tro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267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</w:tcPr>
          <w:p w14:paraId="3B9F6F4B" w14:textId="3C1758DD" w:rsidR="00E5402E" w:rsidRDefault="00E5402E">
            <w:pPr>
              <w:rPr>
                <w:vertAlign w:val="superscript"/>
              </w:rPr>
            </w:pPr>
          </w:p>
          <w:p w14:paraId="5E3D202D" w14:textId="77777777" w:rsidR="00416651" w:rsidRDefault="00416651">
            <w:pPr>
              <w:rPr>
                <w:vertAlign w:val="superscript"/>
              </w:rPr>
            </w:pPr>
          </w:p>
          <w:p w14:paraId="5C3D2E9F" w14:textId="77777777" w:rsidR="00416651" w:rsidRDefault="00416651">
            <w:pPr>
              <w:rPr>
                <w:vertAlign w:val="superscript"/>
              </w:rPr>
            </w:pPr>
          </w:p>
          <w:p w14:paraId="52579A4A" w14:textId="77777777" w:rsidR="00416651" w:rsidRDefault="00416651">
            <w:pPr>
              <w:rPr>
                <w:vertAlign w:val="superscript"/>
              </w:rPr>
            </w:pPr>
          </w:p>
          <w:p w14:paraId="15AEAA72" w14:textId="05C6E4D3" w:rsidR="00416651" w:rsidRDefault="00416651">
            <w:pPr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3A452142" wp14:editId="0919BA12">
                  <wp:extent cx="2824175" cy="1573967"/>
                  <wp:effectExtent l="0" t="0" r="0" b="7620"/>
                  <wp:docPr id="804018382" name="Picture 3" descr="HMAT A69 Warilda - Our Contrib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MAT A69 Warilda - Our Contrib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121" cy="159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02E" w14:paraId="1F0830EA" w14:textId="77777777" w:rsidTr="005A209C">
        <w:tc>
          <w:tcPr>
            <w:tcW w:w="4668" w:type="dxa"/>
          </w:tcPr>
          <w:p w14:paraId="0009199C" w14:textId="77777777" w:rsidR="00E5402E" w:rsidRDefault="00E5402E">
            <w:r>
              <w:t>3</w:t>
            </w:r>
            <w:r w:rsidRPr="00E5402E">
              <w:rPr>
                <w:vertAlign w:val="superscript"/>
              </w:rPr>
              <w:t>rd</w:t>
            </w:r>
            <w:r>
              <w:t xml:space="preserve"> light horse regiment Badge</w:t>
            </w:r>
          </w:p>
          <w:p w14:paraId="33D13669" w14:textId="1CBB9824" w:rsidR="00A80537" w:rsidRPr="00E5402E" w:rsidRDefault="00A80537"/>
        </w:tc>
        <w:tc>
          <w:tcPr>
            <w:tcW w:w="4358" w:type="dxa"/>
          </w:tcPr>
          <w:p w14:paraId="37F60606" w14:textId="77777777" w:rsidR="00E5402E" w:rsidRDefault="006917F7">
            <w:r>
              <w:t>HMAT Marilda</w:t>
            </w:r>
            <w:r w:rsidR="00D93888">
              <w:t xml:space="preserve"> as a hospital ship</w:t>
            </w:r>
          </w:p>
          <w:p w14:paraId="0225B588" w14:textId="77777777" w:rsidR="00A80537" w:rsidRDefault="00A80537"/>
          <w:p w14:paraId="7C2127FE" w14:textId="4F30CC66" w:rsidR="00A80537" w:rsidRPr="006917F7" w:rsidRDefault="00A80537"/>
        </w:tc>
      </w:tr>
      <w:tr w:rsidR="00E5402E" w14:paraId="28E05C2D" w14:textId="77777777" w:rsidTr="005A209C">
        <w:tc>
          <w:tcPr>
            <w:tcW w:w="4668" w:type="dxa"/>
          </w:tcPr>
          <w:p w14:paraId="18493B61" w14:textId="678071F5" w:rsidR="00E5402E" w:rsidRDefault="00122D5C">
            <w:pPr>
              <w:rPr>
                <w:vertAlign w:val="superscrip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AE9A04" wp14:editId="68C42A13">
                  <wp:extent cx="3035300" cy="1708879"/>
                  <wp:effectExtent l="0" t="0" r="0" b="5715"/>
                  <wp:docPr id="1856796005" name="Picture 4" descr="Australian Light Horse Field Ambul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stralian Light Horse Field Ambul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48" cy="170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8" w:type="dxa"/>
          </w:tcPr>
          <w:p w14:paraId="4C77BED2" w14:textId="69BAF960" w:rsidR="00E5402E" w:rsidRDefault="005B4247">
            <w:pPr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 wp14:anchorId="0D95DBEC" wp14:editId="19ABAA8F">
                  <wp:extent cx="2518410" cy="1821180"/>
                  <wp:effectExtent l="0" t="0" r="0" b="7620"/>
                  <wp:docPr id="347020636" name="Picture 5" descr="3rd Light Horse Brigade Field Ambula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rd Light Horse Brigade Field Ambula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41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02E" w14:paraId="48B4A732" w14:textId="77777777" w:rsidTr="005A209C">
        <w:tc>
          <w:tcPr>
            <w:tcW w:w="4668" w:type="dxa"/>
          </w:tcPr>
          <w:p w14:paraId="423CF4AD" w14:textId="2D6B2F22" w:rsidR="00E5402E" w:rsidRPr="00122D5C" w:rsidRDefault="00122D5C">
            <w:r>
              <w:t>Light horse field ambulance</w:t>
            </w:r>
          </w:p>
        </w:tc>
        <w:tc>
          <w:tcPr>
            <w:tcW w:w="4358" w:type="dxa"/>
          </w:tcPr>
          <w:p w14:paraId="378371E1" w14:textId="417242C8" w:rsidR="00E5402E" w:rsidRPr="005B4247" w:rsidRDefault="005B4247">
            <w:r>
              <w:t>3</w:t>
            </w:r>
            <w:r w:rsidRPr="005B4247">
              <w:rPr>
                <w:vertAlign w:val="superscript"/>
              </w:rPr>
              <w:t>rd</w:t>
            </w:r>
            <w:r>
              <w:t xml:space="preserve"> light horse regiment</w:t>
            </w:r>
          </w:p>
        </w:tc>
      </w:tr>
      <w:tr w:rsidR="005A209C" w14:paraId="06F597E0" w14:textId="77777777" w:rsidTr="005A209C">
        <w:tc>
          <w:tcPr>
            <w:tcW w:w="4668" w:type="dxa"/>
          </w:tcPr>
          <w:p w14:paraId="47BF12C0" w14:textId="77777777" w:rsidR="005A209C" w:rsidRDefault="005A209C"/>
          <w:p w14:paraId="78486D40" w14:textId="77777777" w:rsidR="005A209C" w:rsidRDefault="005A209C"/>
          <w:p w14:paraId="09476190" w14:textId="77777777" w:rsidR="005A209C" w:rsidRDefault="005A209C"/>
          <w:p w14:paraId="61273FAE" w14:textId="77777777" w:rsidR="005A209C" w:rsidRDefault="005A209C" w:rsidP="00B03B0D"/>
        </w:tc>
        <w:tc>
          <w:tcPr>
            <w:tcW w:w="4358" w:type="dxa"/>
          </w:tcPr>
          <w:p w14:paraId="39C2F31E" w14:textId="77777777" w:rsidR="005A209C" w:rsidRDefault="005A209C"/>
        </w:tc>
      </w:tr>
    </w:tbl>
    <w:p w14:paraId="7068F172" w14:textId="647506DD" w:rsidR="00416651" w:rsidRDefault="00416651">
      <w:pPr>
        <w:rPr>
          <w:vertAlign w:val="superscript"/>
        </w:rPr>
      </w:pPr>
    </w:p>
    <w:p w14:paraId="73636888" w14:textId="77777777" w:rsidR="00416651" w:rsidRDefault="00416651">
      <w:pPr>
        <w:rPr>
          <w:vertAlign w:val="superscript"/>
        </w:rPr>
      </w:pPr>
    </w:p>
    <w:p w14:paraId="00D780A4" w14:textId="6055B8E3" w:rsidR="00416651" w:rsidRDefault="00416651" w:rsidP="00E331D7">
      <w:r>
        <w:t>Harvard references</w:t>
      </w:r>
    </w:p>
    <w:p w14:paraId="2657E791" w14:textId="77777777" w:rsidR="00416651" w:rsidRDefault="00416651" w:rsidP="00E331D7"/>
    <w:p w14:paraId="5BC444E1" w14:textId="42E907A8" w:rsidR="00E331D7" w:rsidRPr="00E331D7" w:rsidRDefault="00E331D7" w:rsidP="00E331D7">
      <w:r w:rsidRPr="00E331D7">
        <w:t>Terrace, V. (2025). </w:t>
      </w:r>
      <w:r w:rsidRPr="00E331D7">
        <w:rPr>
          <w:i/>
          <w:iCs/>
        </w:rPr>
        <w:t>View digital copy</w:t>
      </w:r>
      <w:r w:rsidRPr="00E331D7">
        <w:t>. [online] Naa.gov.au. Available at: https://recordsearch.naa.gov.au/SearchNRetrieve/Interface/ViewImage.aspx?B=1938776 [Accessed 17 Nov. 2025].</w:t>
      </w:r>
    </w:p>
    <w:p w14:paraId="78A1C0B9" w14:textId="529C3E1F" w:rsidR="004B7E19" w:rsidRDefault="00E331D7">
      <w:r w:rsidRPr="00E331D7">
        <w:t>‌</w:t>
      </w:r>
      <w:r w:rsidR="00C77743" w:rsidRPr="00C77743">
        <w:t>Adfa.edu.au. (2025). </w:t>
      </w:r>
      <w:r w:rsidR="00C77743" w:rsidRPr="00C77743">
        <w:rPr>
          <w:i/>
          <w:iCs/>
        </w:rPr>
        <w:t>Details</w:t>
      </w:r>
      <w:r w:rsidR="00C77743" w:rsidRPr="00C77743">
        <w:t>. [online] Available at: https://aif.adfa.edu.au/showPerson?pid=193581 [Accessed 17 Nov. 2025].</w:t>
      </w:r>
    </w:p>
    <w:p w14:paraId="3C17A4C3" w14:textId="2D26DC15" w:rsidR="00606CE4" w:rsidRPr="00606CE4" w:rsidRDefault="00606CE4" w:rsidP="00606CE4">
      <w:r w:rsidRPr="00606CE4">
        <w:t>Wikipedia. (2020). </w:t>
      </w:r>
      <w:r w:rsidRPr="00606CE4">
        <w:rPr>
          <w:i/>
          <w:iCs/>
        </w:rPr>
        <w:t>3rd Light Horse Regiment (Australia)</w:t>
      </w:r>
      <w:r w:rsidRPr="00606CE4">
        <w:t>. [online] Available at: https://en.wikipedia.org/wiki/3rd_Light_Horse_Regiment_(Australia).</w:t>
      </w:r>
    </w:p>
    <w:p w14:paraId="76624F9D" w14:textId="1C0ECA73" w:rsidR="008577D0" w:rsidRDefault="008577D0" w:rsidP="008577D0">
      <w:r w:rsidRPr="008577D0">
        <w:t>Anon, (n.d.). </w:t>
      </w:r>
      <w:r w:rsidRPr="008577D0">
        <w:rPr>
          <w:i/>
          <w:iCs/>
        </w:rPr>
        <w:t>Australian Light Regiments and Brigades – Australian Light Horse Association</w:t>
      </w:r>
      <w:r w:rsidRPr="008577D0">
        <w:t xml:space="preserve">. [online] Available at: </w:t>
      </w:r>
      <w:hyperlink r:id="rId9" w:history="1">
        <w:r w:rsidR="002C54B3" w:rsidRPr="008577D0">
          <w:rPr>
            <w:rStyle w:val="Hyperlink"/>
          </w:rPr>
          <w:t>https://www.lighthorse.org.au/mounted-troops/</w:t>
        </w:r>
      </w:hyperlink>
      <w:r w:rsidRPr="008577D0">
        <w:t>.</w:t>
      </w:r>
    </w:p>
    <w:p w14:paraId="0A8D1533" w14:textId="77777777" w:rsidR="002C54B3" w:rsidRPr="002C54B3" w:rsidRDefault="002C54B3" w:rsidP="002C54B3">
      <w:r w:rsidRPr="002C54B3">
        <w:t>Samrainc.org. (2025). </w:t>
      </w:r>
      <w:r w:rsidRPr="002C54B3">
        <w:rPr>
          <w:i/>
          <w:iCs/>
        </w:rPr>
        <w:t>History 3rd LH</w:t>
      </w:r>
      <w:r w:rsidRPr="002C54B3">
        <w:t>. [online] Available at: https://www.samrainc.org/history3lh.htm [Accessed 17 Nov. 2025].</w:t>
      </w:r>
    </w:p>
    <w:p w14:paraId="6172FED9" w14:textId="77777777" w:rsidR="002C54B3" w:rsidRPr="002C54B3" w:rsidRDefault="002C54B3" w:rsidP="002C54B3">
      <w:r w:rsidRPr="002C54B3">
        <w:t>‌</w:t>
      </w:r>
    </w:p>
    <w:p w14:paraId="01F7B797" w14:textId="77777777" w:rsidR="002C54B3" w:rsidRPr="008577D0" w:rsidRDefault="002C54B3" w:rsidP="008577D0"/>
    <w:p w14:paraId="34953D9C" w14:textId="77777777" w:rsidR="008577D0" w:rsidRPr="008577D0" w:rsidRDefault="008577D0" w:rsidP="008577D0">
      <w:r w:rsidRPr="008577D0">
        <w:t>‌</w:t>
      </w:r>
    </w:p>
    <w:p w14:paraId="3436E253" w14:textId="77777777" w:rsidR="007475D2" w:rsidRDefault="007475D2"/>
    <w:p w14:paraId="76722A79" w14:textId="77777777" w:rsidR="002E03EC" w:rsidRPr="004B7E19" w:rsidRDefault="002E03EC"/>
    <w:sectPr w:rsidR="002E03EC" w:rsidRPr="004B7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316F"/>
    <w:multiLevelType w:val="multilevel"/>
    <w:tmpl w:val="69C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FB2"/>
    <w:multiLevelType w:val="multilevel"/>
    <w:tmpl w:val="7BD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3019E"/>
    <w:multiLevelType w:val="multilevel"/>
    <w:tmpl w:val="702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6559E"/>
    <w:multiLevelType w:val="multilevel"/>
    <w:tmpl w:val="A8C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90FB7"/>
    <w:multiLevelType w:val="multilevel"/>
    <w:tmpl w:val="2A08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C466C"/>
    <w:multiLevelType w:val="multilevel"/>
    <w:tmpl w:val="9DC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21054"/>
    <w:multiLevelType w:val="multilevel"/>
    <w:tmpl w:val="1FF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36941">
    <w:abstractNumId w:val="3"/>
  </w:num>
  <w:num w:numId="2" w16cid:durableId="763064747">
    <w:abstractNumId w:val="4"/>
  </w:num>
  <w:num w:numId="3" w16cid:durableId="1879662196">
    <w:abstractNumId w:val="6"/>
  </w:num>
  <w:num w:numId="4" w16cid:durableId="729571564">
    <w:abstractNumId w:val="5"/>
  </w:num>
  <w:num w:numId="5" w16cid:durableId="282657375">
    <w:abstractNumId w:val="2"/>
  </w:num>
  <w:num w:numId="6" w16cid:durableId="1675186535">
    <w:abstractNumId w:val="1"/>
  </w:num>
  <w:num w:numId="7" w16cid:durableId="90711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8E"/>
    <w:rsid w:val="00014DE0"/>
    <w:rsid w:val="00072BCB"/>
    <w:rsid w:val="000B41E2"/>
    <w:rsid w:val="000E411A"/>
    <w:rsid w:val="000E718E"/>
    <w:rsid w:val="00111F6D"/>
    <w:rsid w:val="0011404B"/>
    <w:rsid w:val="00122D5C"/>
    <w:rsid w:val="001237E3"/>
    <w:rsid w:val="00146371"/>
    <w:rsid w:val="00160CBA"/>
    <w:rsid w:val="00180999"/>
    <w:rsid w:val="001F7304"/>
    <w:rsid w:val="002044C0"/>
    <w:rsid w:val="00217CDC"/>
    <w:rsid w:val="00230CC0"/>
    <w:rsid w:val="00242967"/>
    <w:rsid w:val="002658F8"/>
    <w:rsid w:val="0028223C"/>
    <w:rsid w:val="00297713"/>
    <w:rsid w:val="002A4CE9"/>
    <w:rsid w:val="002C54B3"/>
    <w:rsid w:val="002C66B1"/>
    <w:rsid w:val="002E03EC"/>
    <w:rsid w:val="002E0E61"/>
    <w:rsid w:val="002E1BFB"/>
    <w:rsid w:val="002E5F90"/>
    <w:rsid w:val="00301655"/>
    <w:rsid w:val="00302D6E"/>
    <w:rsid w:val="00315DBB"/>
    <w:rsid w:val="003A18BD"/>
    <w:rsid w:val="003B3FB2"/>
    <w:rsid w:val="003C6143"/>
    <w:rsid w:val="003D0BA8"/>
    <w:rsid w:val="003D0CD9"/>
    <w:rsid w:val="003D3528"/>
    <w:rsid w:val="003F507A"/>
    <w:rsid w:val="003F7073"/>
    <w:rsid w:val="003F774C"/>
    <w:rsid w:val="00416651"/>
    <w:rsid w:val="00430E34"/>
    <w:rsid w:val="0046428D"/>
    <w:rsid w:val="004710A4"/>
    <w:rsid w:val="00491750"/>
    <w:rsid w:val="00496668"/>
    <w:rsid w:val="00496DC7"/>
    <w:rsid w:val="004A5804"/>
    <w:rsid w:val="004A6FA7"/>
    <w:rsid w:val="004B7E19"/>
    <w:rsid w:val="004D138B"/>
    <w:rsid w:val="004E6A16"/>
    <w:rsid w:val="004F70C3"/>
    <w:rsid w:val="004F773B"/>
    <w:rsid w:val="00506F44"/>
    <w:rsid w:val="00537E1E"/>
    <w:rsid w:val="0054311A"/>
    <w:rsid w:val="00586FF0"/>
    <w:rsid w:val="005A209C"/>
    <w:rsid w:val="005B236E"/>
    <w:rsid w:val="005B4247"/>
    <w:rsid w:val="005D5D96"/>
    <w:rsid w:val="005D7668"/>
    <w:rsid w:val="006064EB"/>
    <w:rsid w:val="00606CE4"/>
    <w:rsid w:val="00653006"/>
    <w:rsid w:val="006576F3"/>
    <w:rsid w:val="00680B56"/>
    <w:rsid w:val="006917F7"/>
    <w:rsid w:val="006A64CB"/>
    <w:rsid w:val="006D026D"/>
    <w:rsid w:val="00704A55"/>
    <w:rsid w:val="00706919"/>
    <w:rsid w:val="00711E31"/>
    <w:rsid w:val="00712C74"/>
    <w:rsid w:val="00733A40"/>
    <w:rsid w:val="00741DD4"/>
    <w:rsid w:val="007475D2"/>
    <w:rsid w:val="00772A28"/>
    <w:rsid w:val="007C583E"/>
    <w:rsid w:val="008577D0"/>
    <w:rsid w:val="00881165"/>
    <w:rsid w:val="008860FB"/>
    <w:rsid w:val="008C0046"/>
    <w:rsid w:val="008F78BC"/>
    <w:rsid w:val="00921ED8"/>
    <w:rsid w:val="009267CC"/>
    <w:rsid w:val="00956DBC"/>
    <w:rsid w:val="009632E7"/>
    <w:rsid w:val="009B475A"/>
    <w:rsid w:val="009D5D66"/>
    <w:rsid w:val="009E223F"/>
    <w:rsid w:val="00A227E6"/>
    <w:rsid w:val="00A4207F"/>
    <w:rsid w:val="00A572E8"/>
    <w:rsid w:val="00A634C0"/>
    <w:rsid w:val="00A80537"/>
    <w:rsid w:val="00B03B0D"/>
    <w:rsid w:val="00B45DA3"/>
    <w:rsid w:val="00B65220"/>
    <w:rsid w:val="00B84D00"/>
    <w:rsid w:val="00B86EA4"/>
    <w:rsid w:val="00B94931"/>
    <w:rsid w:val="00BD318C"/>
    <w:rsid w:val="00BE41F8"/>
    <w:rsid w:val="00BF0B9D"/>
    <w:rsid w:val="00C52F74"/>
    <w:rsid w:val="00C77743"/>
    <w:rsid w:val="00C818C1"/>
    <w:rsid w:val="00C81D6E"/>
    <w:rsid w:val="00C83C2F"/>
    <w:rsid w:val="00C922A1"/>
    <w:rsid w:val="00C950ED"/>
    <w:rsid w:val="00CA6895"/>
    <w:rsid w:val="00CD781B"/>
    <w:rsid w:val="00CE19CE"/>
    <w:rsid w:val="00CE4F80"/>
    <w:rsid w:val="00CF6221"/>
    <w:rsid w:val="00D7037F"/>
    <w:rsid w:val="00D93888"/>
    <w:rsid w:val="00DB2994"/>
    <w:rsid w:val="00DC230B"/>
    <w:rsid w:val="00DE22CC"/>
    <w:rsid w:val="00E05BC7"/>
    <w:rsid w:val="00E075E0"/>
    <w:rsid w:val="00E331D7"/>
    <w:rsid w:val="00E47455"/>
    <w:rsid w:val="00E51203"/>
    <w:rsid w:val="00E5402E"/>
    <w:rsid w:val="00E70598"/>
    <w:rsid w:val="00EC2D28"/>
    <w:rsid w:val="00EE2D23"/>
    <w:rsid w:val="00EE717D"/>
    <w:rsid w:val="00F24A0F"/>
    <w:rsid w:val="00F72481"/>
    <w:rsid w:val="00F902D4"/>
    <w:rsid w:val="00FD5BCA"/>
    <w:rsid w:val="00FE0903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D011"/>
  <w15:chartTrackingRefBased/>
  <w15:docId w15:val="{1154245C-8F06-4F75-9E17-9B73E14B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E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774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54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ghthorse.org.au/mounted-troo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898</Words>
  <Characters>4769</Characters>
  <Application>Microsoft Office Word</Application>
  <DocSecurity>0</DocSecurity>
  <Lines>124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Davidson</dc:creator>
  <cp:keywords/>
  <dc:description/>
  <cp:lastModifiedBy>Charlie Davidson</cp:lastModifiedBy>
  <cp:revision>94</cp:revision>
  <dcterms:created xsi:type="dcterms:W3CDTF">2025-10-20T23:25:00Z</dcterms:created>
  <dcterms:modified xsi:type="dcterms:W3CDTF">2025-11-20T22:46:00Z</dcterms:modified>
</cp:coreProperties>
</file>